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39" w:rsidRDefault="004B5F39" w:rsidP="004B5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2535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ВПР </w:t>
      </w:r>
    </w:p>
    <w:p w:rsidR="004B5F39" w:rsidRDefault="004B5F39" w:rsidP="004B5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="0069686A">
        <w:rPr>
          <w:rFonts w:ascii="Times New Roman" w:hAnsi="Times New Roman" w:cs="Times New Roman"/>
          <w:b/>
          <w:sz w:val="28"/>
          <w:szCs w:val="28"/>
        </w:rPr>
        <w:t>«Р</w:t>
      </w:r>
      <w:r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6968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F39" w:rsidRDefault="00C22CFE" w:rsidP="00EE0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253" w:rsidRPr="00CA2253" w:rsidRDefault="00CA2253" w:rsidP="006250A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53">
        <w:rPr>
          <w:rFonts w:ascii="Times New Roman" w:hAnsi="Times New Roman" w:cs="Times New Roman"/>
          <w:sz w:val="28"/>
          <w:szCs w:val="28"/>
        </w:rPr>
        <w:t xml:space="preserve">В рамках мониторинга оценки качества образования обучающихся кафедра </w:t>
      </w:r>
      <w:r w:rsidR="006250A5">
        <w:rPr>
          <w:rFonts w:ascii="Times New Roman" w:hAnsi="Times New Roman" w:cs="Times New Roman"/>
          <w:sz w:val="28"/>
          <w:szCs w:val="28"/>
        </w:rPr>
        <w:t>преподавания языков и литературы</w:t>
      </w:r>
      <w:r w:rsidRPr="00CA2253">
        <w:rPr>
          <w:rFonts w:ascii="Times New Roman" w:hAnsi="Times New Roman" w:cs="Times New Roman"/>
          <w:sz w:val="28"/>
          <w:szCs w:val="28"/>
        </w:rPr>
        <w:t xml:space="preserve"> СИПКРО в 2020 году провела работу по анализу </w:t>
      </w:r>
      <w:r w:rsidR="00F06EC0">
        <w:rPr>
          <w:rFonts w:ascii="Times New Roman" w:hAnsi="Times New Roman" w:cs="Times New Roman"/>
          <w:sz w:val="28"/>
          <w:szCs w:val="28"/>
        </w:rPr>
        <w:t>результатов</w:t>
      </w:r>
      <w:r w:rsidRPr="00CA22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250A5">
        <w:rPr>
          <w:rFonts w:ascii="Times New Roman" w:hAnsi="Times New Roman" w:cs="Times New Roman"/>
          <w:sz w:val="28"/>
          <w:szCs w:val="28"/>
        </w:rPr>
        <w:t>ВПР по русскому языку</w:t>
      </w:r>
      <w:r w:rsidR="00F06EC0">
        <w:rPr>
          <w:rFonts w:ascii="Times New Roman" w:hAnsi="Times New Roman" w:cs="Times New Roman"/>
          <w:sz w:val="28"/>
          <w:szCs w:val="28"/>
        </w:rPr>
        <w:t xml:space="preserve"> учащихся 5-6 классов Самарской области</w:t>
      </w:r>
      <w:r w:rsidR="006250A5">
        <w:rPr>
          <w:rFonts w:ascii="Times New Roman" w:hAnsi="Times New Roman" w:cs="Times New Roman"/>
          <w:sz w:val="28"/>
          <w:szCs w:val="28"/>
        </w:rPr>
        <w:t xml:space="preserve"> и </w:t>
      </w:r>
      <w:r w:rsidRPr="00CA2253">
        <w:rPr>
          <w:rFonts w:ascii="Times New Roman" w:hAnsi="Times New Roman" w:cs="Times New Roman"/>
          <w:sz w:val="28"/>
          <w:szCs w:val="28"/>
        </w:rPr>
        <w:t>по исследованию профессиональных компетенций учителей</w:t>
      </w:r>
      <w:r w:rsidR="006250A5">
        <w:rPr>
          <w:rFonts w:ascii="Times New Roman" w:hAnsi="Times New Roman" w:cs="Times New Roman"/>
          <w:sz w:val="28"/>
          <w:szCs w:val="28"/>
        </w:rPr>
        <w:t xml:space="preserve">-предметников по учебному предмету русский язык </w:t>
      </w:r>
      <w:r w:rsidRPr="00CA2253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6250A5">
        <w:rPr>
          <w:rFonts w:ascii="Times New Roman" w:hAnsi="Times New Roman" w:cs="Times New Roman"/>
          <w:sz w:val="28"/>
          <w:szCs w:val="28"/>
        </w:rPr>
        <w:t xml:space="preserve">их </w:t>
      </w:r>
      <w:r w:rsidRPr="00CA2253">
        <w:rPr>
          <w:rFonts w:ascii="Times New Roman" w:hAnsi="Times New Roman" w:cs="Times New Roman"/>
          <w:sz w:val="28"/>
          <w:szCs w:val="28"/>
        </w:rPr>
        <w:t>профессиональных дефицитов и оказания методической помощи школам с низкими образовательными результатами.</w:t>
      </w:r>
    </w:p>
    <w:p w:rsidR="007953E8" w:rsidRDefault="003E4181" w:rsidP="007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образовательных результатов выполнения всероссийской проверочной работы учащимися 5-6 классов</w:t>
      </w:r>
      <w:r w:rsidR="00D166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 определен список школ в Самарской области (1</w:t>
      </w:r>
      <w:r w:rsidR="00C22CFE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877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которые показывают </w:t>
      </w:r>
      <w:r w:rsidR="007953E8" w:rsidRPr="007953E8">
        <w:rPr>
          <w:rFonts w:ascii="Times New Roman" w:hAnsi="Times New Roman" w:cs="Times New Roman"/>
          <w:sz w:val="28"/>
          <w:szCs w:val="28"/>
        </w:rPr>
        <w:t>низки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53E8" w:rsidRPr="007953E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й результат по русскому языку и литературе.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E8" w:rsidRDefault="007953E8" w:rsidP="00EE08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53E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3EC98DF" wp14:editId="16B16FAB">
            <wp:extent cx="5940425" cy="1681148"/>
            <wp:effectExtent l="0" t="0" r="222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8AB" w:rsidRDefault="00EE08AB" w:rsidP="007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CB" w:rsidRDefault="003E4181" w:rsidP="007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школы в разрезе </w:t>
      </w:r>
      <w:r w:rsidR="00840D51">
        <w:rPr>
          <w:rFonts w:ascii="Times New Roman" w:hAnsi="Times New Roman" w:cs="Times New Roman"/>
          <w:sz w:val="28"/>
          <w:szCs w:val="28"/>
        </w:rPr>
        <w:t>количественного состава учащихся и изучения отдельных предметов.</w:t>
      </w:r>
    </w:p>
    <w:p w:rsidR="00EE08AB" w:rsidRPr="003E4181" w:rsidRDefault="00EE08AB" w:rsidP="007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14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5"/>
        <w:gridCol w:w="1417"/>
        <w:gridCol w:w="1418"/>
        <w:gridCol w:w="1701"/>
        <w:gridCol w:w="1275"/>
        <w:gridCol w:w="1418"/>
        <w:gridCol w:w="1417"/>
        <w:gridCol w:w="993"/>
      </w:tblGrid>
      <w:tr w:rsidR="007953E8" w:rsidRPr="00AD41CB" w:rsidTr="006250A5">
        <w:trPr>
          <w:trHeight w:val="12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373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Мало</w:t>
            </w:r>
            <w:r w:rsidR="003E4181">
              <w:rPr>
                <w:rFonts w:eastAsia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-</w:t>
            </w: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комплектные школы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373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Немалокомплектные школы до 250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373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Сельские и городские школы до 350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373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Районные и сельские школы более 350 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373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Школы г.о. Самара и Тольятти до 750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373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Школы г.о. Самара и Тольятти более 750 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752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Школы с углубленным изучением отдельных предметов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EF050D" w:rsidRDefault="00EF050D" w:rsidP="00733E3F">
            <w:pPr>
              <w:spacing w:after="0" w:line="240" w:lineRule="auto"/>
              <w:ind w:firstLine="709"/>
              <w:jc w:val="both"/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</w:pPr>
          </w:p>
          <w:p w:rsidR="00AD41CB" w:rsidRPr="00AD41CB" w:rsidRDefault="00EF050D" w:rsidP="00EF0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Н</w:t>
            </w:r>
            <w:r w:rsidR="00AD41CB" w:rsidRPr="00AD41CB">
              <w:rPr>
                <w:rFonts w:ascii="Helvetica" w:eastAsia="Helvetica" w:hAnsi="Helvetica" w:cs="Helvetica"/>
                <w:b/>
                <w:bCs/>
                <w:color w:val="254061"/>
                <w:sz w:val="18"/>
                <w:szCs w:val="18"/>
                <w:lang w:eastAsia="ru-RU"/>
              </w:rPr>
              <w:t>ОУ</w:t>
            </w:r>
          </w:p>
        </w:tc>
      </w:tr>
      <w:tr w:rsidR="007953E8" w:rsidRPr="00AD41CB" w:rsidTr="006250A5">
        <w:trPr>
          <w:trHeight w:val="48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:rsidR="00AD41CB" w:rsidRPr="00AD41CB" w:rsidRDefault="00AD41CB" w:rsidP="00EF05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41CB">
              <w:rPr>
                <w:rFonts w:ascii="Helvetica" w:eastAsia="Helvetica" w:hAnsi="Helvetica" w:cs="Helvetica"/>
                <w:b/>
                <w:bCs/>
                <w:color w:val="254061"/>
                <w:sz w:val="26"/>
                <w:szCs w:val="26"/>
                <w:lang w:eastAsia="ru-RU"/>
              </w:rPr>
              <w:t>1</w:t>
            </w:r>
          </w:p>
        </w:tc>
      </w:tr>
    </w:tbl>
    <w:p w:rsidR="007953E8" w:rsidRDefault="007953E8" w:rsidP="00733E3F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2CC" w:rsidRDefault="00B822CC" w:rsidP="00B822C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F39" w:rsidRDefault="00B822CC" w:rsidP="00EE08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="00EE08AB" w:rsidRPr="00EE08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 результатов ВПР по русскому языку учащихся </w:t>
      </w:r>
    </w:p>
    <w:p w:rsidR="00EE08AB" w:rsidRPr="00EE08AB" w:rsidRDefault="00EE08AB" w:rsidP="00EE08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08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5-6 классов</w:t>
      </w:r>
      <w:r w:rsidR="00D166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Самарской области</w:t>
      </w:r>
    </w:p>
    <w:p w:rsidR="00840D51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комплексного анализа школ с 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>низкими образовательными результатами (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НОР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была проведена оценка уровня выполнения учениками 5</w:t>
      </w:r>
      <w:r w:rsidR="00752473">
        <w:rPr>
          <w:rFonts w:ascii="Times New Roman" w:eastAsia="Calibri" w:hAnsi="Times New Roman" w:cs="Times New Roman"/>
          <w:color w:val="000000"/>
          <w:sz w:val="28"/>
          <w:szCs w:val="28"/>
        </w:rPr>
        <w:t>-х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6</w:t>
      </w:r>
      <w:r w:rsidR="00752473">
        <w:rPr>
          <w:rFonts w:ascii="Times New Roman" w:eastAsia="Calibri" w:hAnsi="Times New Roman" w:cs="Times New Roman"/>
          <w:color w:val="000000"/>
          <w:sz w:val="28"/>
          <w:szCs w:val="28"/>
        </w:rPr>
        <w:t>-х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 заданий 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всероссийской проверочной работы </w:t>
      </w:r>
      <w:r w:rsidR="007473E0" w:rsidRPr="007473E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ВПР</w:t>
      </w:r>
      <w:r w:rsidR="007473E0" w:rsidRPr="007473E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2 года (2018 и 2019 гг.).</w:t>
      </w:r>
    </w:p>
    <w:p w:rsidR="00D16675" w:rsidRDefault="00D16675" w:rsidP="00D16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Назначение ВПР по русскому языку – оценить уровень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общеобразовательной подготовки обучающихся 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6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в соответствии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требованиями ФГОС. ВПР позволяют осуществить диагностику достижения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предметных и метапредметных результатов, в том числе уровня</w:t>
      </w:r>
      <w:r w:rsidR="005F7E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 универсальных учебных действий (УУД) и овладения</w:t>
      </w:r>
      <w:r w:rsidR="005F7E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межпредметными понятиями. Результаты ВПР в совокупности с имеющейся</w:t>
      </w:r>
      <w:r w:rsidR="005F7E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в образовательной организации информацией, отражающей индивидуальные</w:t>
      </w:r>
      <w:r w:rsidR="005F7E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образовательные траектории обучающихся, могут быть использованы для</w:t>
      </w:r>
      <w:r w:rsidR="005F7E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6675">
        <w:rPr>
          <w:rFonts w:ascii="Times New Roman" w:eastAsia="Calibri" w:hAnsi="Times New Roman" w:cs="Times New Roman"/>
          <w:color w:val="000000"/>
          <w:sz w:val="28"/>
          <w:szCs w:val="28"/>
        </w:rPr>
        <w:t>оценки личностных результатов обучения.</w:t>
      </w:r>
    </w:p>
    <w:p w:rsid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качестве исходных данных были взяты средние цифры выполнения каждого задания </w:t>
      </w:r>
      <w:r w:rsidR="0075247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по каждому из критериев</w:t>
      </w:r>
      <w:r w:rsidR="0075247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каждой из 100</w:t>
      </w:r>
      <w:r w:rsidR="00830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 </w:t>
      </w:r>
      <w:r w:rsidR="00830AA6">
        <w:rPr>
          <w:rFonts w:ascii="Times New Roman" w:eastAsia="Calibri" w:hAnsi="Times New Roman" w:cs="Times New Roman"/>
          <w:color w:val="000000"/>
          <w:sz w:val="28"/>
          <w:szCs w:val="28"/>
        </w:rPr>
        <w:t>(в 5 классе)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101 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>школы (в 6 классе)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НОР. Из всего массива данных были выбраны показатели менее 50 % выполнения задания как низкий образовательный результат. После проведенных подсчетов была составлена рейтинговая таблица критериев, доля невыполнения которых составляет более 50 % в каждой школе.</w:t>
      </w:r>
    </w:p>
    <w:p w:rsidR="00752473" w:rsidRDefault="00840D51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Посмотреть демоверсию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Pr="00840D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роверочн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ой</w:t>
      </w:r>
      <w:r w:rsidRPr="00840D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ы по русскому языку в 5 </w:t>
      </w:r>
      <w:r w:rsidR="00733E3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 6 </w:t>
      </w:r>
      <w:r w:rsidR="007473E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классе можно здесь</w:t>
      </w:r>
      <w:r w:rsidR="00733E3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2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hyperlink r:id="rId9" w:history="1">
        <w:r w:rsidR="00752473" w:rsidRPr="001F4097">
          <w:rPr>
            <w:rStyle w:val="a9"/>
            <w:rFonts w:ascii="Times New Roman" w:eastAsia="Calibri" w:hAnsi="Times New Roman" w:cs="Times New Roman"/>
            <w:b/>
            <w:bCs/>
            <w:sz w:val="28"/>
            <w:szCs w:val="28"/>
          </w:rPr>
          <w:t>https://4vpr.ru/5-klass/50-demoversiya-vpr-po-russkomu-yazyku-5-klass.html</w:t>
        </w:r>
      </w:hyperlink>
      <w:r w:rsidR="00752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; </w:t>
      </w:r>
      <w:hyperlink r:id="rId10" w:history="1">
        <w:r w:rsidR="00752473" w:rsidRPr="001F4097">
          <w:rPr>
            <w:rStyle w:val="a9"/>
            <w:rFonts w:ascii="Times New Roman" w:eastAsia="Calibri" w:hAnsi="Times New Roman" w:cs="Times New Roman"/>
            <w:b/>
            <w:bCs/>
            <w:sz w:val="28"/>
            <w:szCs w:val="28"/>
          </w:rPr>
          <w:t>https://4vpr.ru/6-klass/218-demoversiya-vpr-2019-po-russkomu-yazyku-6-klass.html</w:t>
        </w:r>
      </w:hyperlink>
      <w:r w:rsidR="00752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7473E0" w:rsidRDefault="00733E3F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3E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Всего в работе 5 класса содержится 12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заданий,</w:t>
      </w:r>
      <w:r w:rsidRPr="00733E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 них 1-7 задания проверяют умения лингвистического анализа, задания 8-12 связаны с работой по тексту. </w:t>
      </w:r>
    </w:p>
    <w:p w:rsidR="00840D51" w:rsidRDefault="00733E3F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работе 6 класса представлено 14 заданий, из которых 1-8 </w:t>
      </w:r>
      <w:r w:rsidR="007473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это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упражнения</w:t>
      </w:r>
      <w:r w:rsidR="007473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</w:t>
      </w:r>
      <w:r w:rsidR="007473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</w:t>
      </w:r>
      <w:r w:rsidR="007473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проверку умения лингвистического разбора, задания 9-14 проверяют умения работать по тексту. </w:t>
      </w:r>
    </w:p>
    <w:p w:rsidR="00EE08AB" w:rsidRPr="00733E3F" w:rsidRDefault="00EE08AB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536" w:type="dxa"/>
          </w:tcPr>
          <w:p w:rsidR="00840D51" w:rsidRDefault="00840D51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D51" w:rsidRDefault="00840D51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3E0" w:rsidRDefault="007473E0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126" w:type="dxa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школ</w:t>
            </w:r>
            <w:r w:rsidR="00747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недостиг</w:t>
            </w:r>
            <w:r w:rsidR="00840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ших </w:t>
            </w:r>
            <w:r w:rsidRPr="00795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</w:t>
            </w:r>
            <w:r w:rsidR="00840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795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критерия </w:t>
            </w:r>
            <w:r w:rsidR="00840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795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более 50% учеников</w:t>
            </w:r>
            <w:r w:rsidR="00840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F7715B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14(2) Описать ситуацию, придумать предложение с фразеологизмом</w:t>
            </w:r>
          </w:p>
        </w:tc>
        <w:tc>
          <w:tcPr>
            <w:tcW w:w="4536" w:type="dxa"/>
            <w:shd w:val="clear" w:color="auto" w:fill="F7715B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      </w:r>
          </w:p>
        </w:tc>
        <w:tc>
          <w:tcPr>
            <w:tcW w:w="2126" w:type="dxa"/>
            <w:shd w:val="clear" w:color="auto" w:fill="F7715B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F7715B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1К1 Соблюдение орфографических норм </w:t>
            </w:r>
          </w:p>
        </w:tc>
        <w:tc>
          <w:tcPr>
            <w:tcW w:w="4536" w:type="dxa"/>
            <w:shd w:val="clear" w:color="auto" w:fill="F7715B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Перепишите текст 1, раскрывая скобки, вставляя, где это необходимо, пропущенные буквы</w:t>
            </w:r>
          </w:p>
        </w:tc>
        <w:tc>
          <w:tcPr>
            <w:tcW w:w="2126" w:type="dxa"/>
            <w:shd w:val="clear" w:color="auto" w:fill="F7715B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77/101 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F7715B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12(2) Составление предложения, слово в другом значении  </w:t>
            </w:r>
          </w:p>
        </w:tc>
        <w:tc>
          <w:tcPr>
            <w:tcW w:w="4536" w:type="dxa"/>
            <w:shd w:val="clear" w:color="auto" w:fill="F7715B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Подберите и запишите предложение, в котором данное многозначное слово употреблялось бы в другом значении.</w:t>
            </w:r>
          </w:p>
        </w:tc>
        <w:tc>
          <w:tcPr>
            <w:tcW w:w="2126" w:type="dxa"/>
            <w:shd w:val="clear" w:color="auto" w:fill="F7715B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F7715B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5(2) Составление схемы </w:t>
            </w:r>
            <w:r w:rsidR="00747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(прямая речь)</w:t>
            </w:r>
          </w:p>
        </w:tc>
        <w:tc>
          <w:tcPr>
            <w:tcW w:w="4536" w:type="dxa"/>
            <w:shd w:val="clear" w:color="auto" w:fill="F7715B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Выпишите предложение с прямой</w:t>
            </w:r>
            <w:r w:rsidR="00747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речью. (з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наки препинания не расставлены.) Расставьте 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необходимые знаки препинания.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Составьте схему предложения.</w:t>
            </w:r>
          </w:p>
        </w:tc>
        <w:tc>
          <w:tcPr>
            <w:tcW w:w="2126" w:type="dxa"/>
            <w:shd w:val="clear" w:color="auto" w:fill="F7715B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76/100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F7715B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7(2) Объяснение основания выбора предложения (пунктуация) </w:t>
            </w:r>
          </w:p>
        </w:tc>
        <w:tc>
          <w:tcPr>
            <w:tcW w:w="4536" w:type="dxa"/>
            <w:shd w:val="clear" w:color="auto" w:fill="F7715B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Выпишите предложение, в котором необходимо поставить запятую. (Знаки препинания внутри предложений не расставлены.)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Напишите, на каком основании Вы сделали свой выбор.</w:t>
            </w:r>
          </w:p>
        </w:tc>
        <w:tc>
          <w:tcPr>
            <w:tcW w:w="2126" w:type="dxa"/>
            <w:shd w:val="clear" w:color="auto" w:fill="F7715B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74/100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F7715B"/>
            <w:noWrap/>
            <w:vAlign w:val="center"/>
            <w:hideMark/>
          </w:tcPr>
          <w:p w:rsidR="007953E8" w:rsidRPr="007953E8" w:rsidRDefault="007953E8" w:rsidP="0074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2К3 Морфологический разбор </w:t>
            </w:r>
          </w:p>
        </w:tc>
        <w:tc>
          <w:tcPr>
            <w:tcW w:w="4536" w:type="dxa"/>
            <w:shd w:val="clear" w:color="auto" w:fill="F7715B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Выполните морфологический разбор слова</w:t>
            </w:r>
          </w:p>
        </w:tc>
        <w:tc>
          <w:tcPr>
            <w:tcW w:w="2126" w:type="dxa"/>
            <w:shd w:val="clear" w:color="auto" w:fill="F7715B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74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747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речи в предложениях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Определите, какой тип речи представлен в предложениях 10−13 текста. Запишите ответ.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69/100     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Понимание текста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факт, по мнению автора текста, свидетельствует о том, что Иваныч был ласковым котом? Запишите ответ.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65/100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2К3 Морфологический разбор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Выполните морфологический разбор слова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64/100 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Основная мысль текста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Определите и запишите основную мысль текста.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63/100    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7(2) Обоснование выбора предложения (пунктуация) 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Выпишите предложение, в котором нужно поставить тире. (Знаки препинания внутри предложений не расставлены.)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Напишите, на каком основании Вы сделали свой выбор.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1К1 Соблюдение орфографических норм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Перепишите текст 1, раскрывая скобки, вставляя, где это необходимо, пропущенные буквы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57/100       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EE08AB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Основная мысль текст</w:t>
            </w:r>
            <w:r w:rsidR="007953E8"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Определите и запишите основную мысль текста.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1К2 Соблюдение пунктуационных норм 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Перепишите текст 1, вставляя, где это необходимо, знаки препинания.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2К4 Синтаксический разбор предложения 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Выполните синтаксический разбор предложения.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54/100 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6(2) Объяснение основания выбора предложения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(пунктуация)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Выпишите предложение, в котором необходимо поставить запятую/запятые. (Знаки препинания внутри предложений не расставлены.)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Напишите, на каком основании Вы сделали свой выбор.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54/100      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составление плана текста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Составьте и запишите план текста из трёх пунктов.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13(1) стилистическая окраска слова  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Определите стилистическую окраску слова «издревле» из предложения 2, запишите.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Подберите и запишите синоним (синонимы) к этому слову.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51/101</w:t>
            </w:r>
          </w:p>
        </w:tc>
      </w:tr>
      <w:tr w:rsidR="007953E8" w:rsidRPr="007953E8" w:rsidTr="00840D51">
        <w:trPr>
          <w:trHeight w:val="312"/>
        </w:trPr>
        <w:tc>
          <w:tcPr>
            <w:tcW w:w="3227" w:type="dxa"/>
            <w:shd w:val="clear" w:color="auto" w:fill="E5B8B7" w:themeFill="accent2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1К2 Соблюдение пунктуационных норм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Перепишите текст 1, вставляя, где это необходимо, знаки препинания.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51/100    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5(1) Распознавание предложения и расстановка знаков препинания  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EE08AB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Выпишите предложение с пря</w:t>
            </w:r>
            <w:r w:rsidR="007953E8"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мой речью. </w:t>
            </w:r>
            <w:r w:rsidR="007953E8"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(Знаки препинания не расставлены.) </w:t>
            </w:r>
            <w:r w:rsidR="007953E8"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Расставьте необходимые знаки препинания.</w:t>
            </w:r>
            <w:r w:rsidR="007953E8"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Составьте схему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49/100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13(2) Подбор синонима к слову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Определите стилистическую окраску слова «издревле» из предложения 2, запишите.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Подберите и запишите синоним (синонимы) к этому слову.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49/101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2К1 Фонетический разбор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Выполните фонетический разбор слова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47/100    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8(2) Обоснование выбора предложения  (пунктуация)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Выпишите предложение, в котором необходимо поставить две запятые. (Знаки препинания внутри предложений не расставлены.)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Напишите, на каком основании Вы сделали свой выбор.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46/101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4(2) Перечисление частей речи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Над каждым словом напишите, какой частью речи оно является. </w:t>
            </w: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Запишите, какие из известных Вам частей речи отсутствуют в предложении.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46/100      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7(1) Распознавание предложения и постановка знака препинания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Выпишите предложение, в котором необходимо поставить запятую. (Знаки препинания внутри предложений не расставлены.) 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Напишите, на каком основании Вы сделали свой выбор.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42/100     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2К4 Синтаксический разбор предложения  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Выполните синтаксический разбор предложения.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37/101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14(1) Понимание значения фразеологизма  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Объясните значение фразеологизма </w:t>
            </w:r>
            <w:r w:rsidRPr="007953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задирать нос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запишите.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36/101</w:t>
            </w:r>
          </w:p>
        </w:tc>
      </w:tr>
      <w:tr w:rsidR="007953E8" w:rsidRPr="007953E8" w:rsidTr="008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6(1) Распознавание предложения и расстановка знаков препинания  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Выпишите предложение, в котором необходимо поставить запятую/запятые. (Знаки препинания внутри предложений не расставлены.)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Напишите, на </w:t>
            </w:r>
            <w:r w:rsidRPr="00795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каком основании Вы сделали свой выбор.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53E8" w:rsidRPr="007953E8" w:rsidRDefault="007953E8" w:rsidP="00733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31/100</w:t>
            </w:r>
          </w:p>
        </w:tc>
      </w:tr>
    </w:tbl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08AB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Данный рейтинг разделен на 3 блока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выделен разным цветом в таблице, представленной выше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EE08AB" w:rsidRDefault="007473E0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71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блок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953E8"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невыполнение по указанному критерию более чем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7953E8"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50%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E08AB" w:rsidRDefault="00733E3F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7953E8"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0 - 70% - второй блок, </w:t>
      </w:r>
    </w:p>
    <w:p w:rsidR="00EE08AB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9 - 30 % - третий блок. 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Критерии, по которым доля 50%-ного невыполнения не превысила 30%, не показаны как статистически не значимые.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Анализируя таблицу, можно сделать вывод о том, что наибольшие затруднения дети испытывают при выполнении следующих заданий: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1) Лексика и фразеология.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Моделирование ситуации с включением фразеологизма (80%), </w:t>
      </w:r>
      <w:r w:rsidRPr="00795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подобрать и записать предложение, в котором данное многозначное слово употреблялось бы в другом значении (76%),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стилистической окраски слова (без вариантов выбора ответа) (51%), подбор синонима к слову (49%).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2) Орфография и пунктуация.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Переписать, вставляя пропущенные буквы, раскрывая скобки (77% в 6 классе, 57% - в 5), расставляя знаки препинания (54% - в 6 классе, 51% - в 5), расставить знаки препинания (49% - 5 класс, 61% - 6 класс)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3) Составление схем и выполнение разборов.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Составить схему предложения (76%), морфологический разбор (73% - 6 класс, 64% - в 5), синтаксический разбор (54% в 6 классе), перечислить части речи (46%), фонетический разбор (47% - 5 класс).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4) Знание правил пунктуации.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Объяснить знаки препинания (74%, 54%, 42% - 5 класс, 61%, 46%, 31% - 6 класс).  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5) Работа с текстом.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типа текста (69%), понимание текста (65% - 6 класс, 55 - 5 класс), формулировка основной мысли текста (63%).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Также необходимо отметить, что задания на объяснение постановки знаков препинания связаны с пониманием прочитанного задания и развитием речи - умением сформулировать свою мысль.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Успешность выполнения 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подобного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задания зависит в том числе от особенностей формулировки задания. 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Так, с </w:t>
      </w:r>
      <w:r w:rsidR="00EE0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выполнением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фонетическ</w:t>
      </w:r>
      <w:r w:rsidR="00EE0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задани</w:t>
      </w:r>
      <w:r w:rsidR="00EE08AB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класс справился заметно хуже, чем 6</w:t>
      </w:r>
      <w:r w:rsidR="00EE0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, т.к. в 5 классе нужно было выполнить полный фонетический разбор, а в 6 - найти слово с названными фонетическими признаками.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Задание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>ению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тип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фрагмента текста оказалось сложным для учащихся, но поскольку варианты ответов не были даны, то невозможно 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>понять,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чем причина низких результатов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ученики не различают типы текстов, забыли названия типов, не поняли, о чем спрашивают</w:t>
      </w:r>
      <w:r w:rsidR="00733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Обобщая данные, можно сформулировать 4 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направления работы 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качества знаний</w:t>
      </w:r>
      <w:r w:rsidR="0074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 5-6 классов</w:t>
      </w: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1) работа с лексикой и фразеологией, расширение словарного запаса,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2) формирование орфографической и пунктуационной грамотности,</w:t>
      </w:r>
    </w:p>
    <w:p w:rsidR="007953E8" w:rsidRP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2) развитие речи и работа с текстом на понимание основной мысли,</w:t>
      </w:r>
    </w:p>
    <w:p w:rsid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3E8">
        <w:rPr>
          <w:rFonts w:ascii="Times New Roman" w:eastAsia="Calibri" w:hAnsi="Times New Roman" w:cs="Times New Roman"/>
          <w:color w:val="000000"/>
          <w:sz w:val="28"/>
          <w:szCs w:val="28"/>
        </w:rPr>
        <w:t>3) обучение морфологическому и синтаксическому разбору.</w:t>
      </w:r>
    </w:p>
    <w:p w:rsidR="00F166CD" w:rsidRDefault="00F166CD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66CD" w:rsidRDefault="00F166CD" w:rsidP="00F166CD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Анализ п</w:t>
      </w:r>
      <w:r w:rsidRPr="007953E8">
        <w:rPr>
          <w:rFonts w:ascii="Times New Roman" w:eastAsia="Times New Roman" w:hAnsi="Times New Roman" w:cs="Times New Roman"/>
          <w:b/>
          <w:bCs/>
          <w:sz w:val="28"/>
          <w:szCs w:val="28"/>
        </w:rPr>
        <w:t>рофессиональны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79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дефицит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79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контекстные показатели учителей русского языка школ с НОР </w:t>
      </w:r>
    </w:p>
    <w:p w:rsidR="00F166CD" w:rsidRPr="007953E8" w:rsidRDefault="00F166CD" w:rsidP="00F166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3E8">
        <w:rPr>
          <w:rFonts w:ascii="Times New Roman" w:eastAsia="Times New Roman" w:hAnsi="Times New Roman" w:cs="Times New Roman"/>
          <w:sz w:val="28"/>
          <w:szCs w:val="28"/>
        </w:rPr>
        <w:t>По итогам комплексного анализа результатов оценочных мероприятий Рособрнадзора, основой которого стали результаты ВПР по русском</w:t>
      </w:r>
      <w:r>
        <w:rPr>
          <w:rFonts w:ascii="Times New Roman" w:eastAsia="Times New Roman" w:hAnsi="Times New Roman" w:cs="Times New Roman"/>
          <w:sz w:val="28"/>
          <w:szCs w:val="28"/>
        </w:rPr>
        <w:t>у языку за два года, определено</w:t>
      </w:r>
      <w:r w:rsidRPr="007953E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05 школ</w:t>
      </w:r>
      <w:r w:rsidRPr="007953E8">
        <w:rPr>
          <w:rFonts w:ascii="Times New Roman" w:eastAsia="Times New Roman" w:hAnsi="Times New Roman" w:cs="Times New Roman"/>
          <w:sz w:val="28"/>
          <w:szCs w:val="28"/>
        </w:rPr>
        <w:t xml:space="preserve"> (17,3%) Самарской области с низкими образовательными результатами (НОР). В ходе исследования основной акцент был сделан на профессиональные дефициты педагогов, а также рассмотрены контекстные показатели: возрастные характеристики и уровень квалификации педагога.</w:t>
      </w:r>
    </w:p>
    <w:p w:rsidR="00F166CD" w:rsidRPr="007953E8" w:rsidRDefault="00F166CD" w:rsidP="00F166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E8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профессиональных дефицитов учителей </w:t>
      </w:r>
      <w:r w:rsidRPr="007953E8">
        <w:rPr>
          <w:rFonts w:ascii="Times New Roman" w:eastAsia="Calibri" w:hAnsi="Times New Roman" w:cs="Times New Roman"/>
          <w:sz w:val="28"/>
          <w:szCs w:val="28"/>
        </w:rPr>
        <w:t xml:space="preserve">школ с низкими образовательными результатами </w:t>
      </w:r>
      <w:r w:rsidRPr="007953E8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Pr="00733E3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296</w:t>
      </w:r>
      <w:r w:rsidRPr="0079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русского языка </w:t>
      </w:r>
      <w:r w:rsidRPr="007953E8">
        <w:rPr>
          <w:rFonts w:ascii="Times New Roman" w:eastAsia="Times New Roman" w:hAnsi="Times New Roman" w:cs="Times New Roman"/>
          <w:sz w:val="28"/>
          <w:szCs w:val="28"/>
        </w:rPr>
        <w:t>(что составляет 100</w:t>
      </w:r>
      <w:r w:rsidRPr="007953E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учителей русского языка школ с НОР</w:t>
      </w:r>
      <w:r w:rsidRPr="00733E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9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166CD" w:rsidRPr="007953E8" w:rsidRDefault="00F166CD" w:rsidP="00F166C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данных, предоставленных </w:t>
      </w:r>
      <w:r w:rsidRPr="007953E8">
        <w:rPr>
          <w:rFonts w:ascii="Times New Roman" w:eastAsia="Times New Roman" w:hAnsi="Times New Roman" w:cs="Times New Roman"/>
          <w:bCs/>
          <w:sz w:val="28"/>
          <w:szCs w:val="28"/>
        </w:rPr>
        <w:t>«Региональным центром развития трудовых ресурсов» (Региональный центр трудовых ресурсов)</w:t>
      </w:r>
      <w:r w:rsidRPr="00795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3E8">
        <w:rPr>
          <w:rFonts w:ascii="Times New Roman" w:eastAsia="Times New Roman" w:hAnsi="Times New Roman" w:cs="Times New Roman"/>
          <w:bCs/>
          <w:sz w:val="28"/>
          <w:szCs w:val="28"/>
        </w:rPr>
        <w:t>Минобрнауки Самарской области,</w:t>
      </w:r>
      <w:r w:rsidRPr="007953E8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типичными </w:t>
      </w:r>
      <w:r w:rsidRPr="007953E8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профессиональными дефицитами учителей русского языка школ с НОР являются следующие (список дан в соответствии с убыванием долей в процентном отношении учителей русского языка, имеющих профессиональные дефицит):</w:t>
      </w:r>
    </w:p>
    <w:p w:rsidR="00F166CD" w:rsidRPr="007953E8" w:rsidRDefault="00F166CD" w:rsidP="00F166C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3E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95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адресную работу с детьми с особыми образовательными потребностями (аутисты, дети с синдромом дефицита внимания и гиперактивностью и др.)</w:t>
      </w:r>
    </w:p>
    <w:p w:rsidR="00F166CD" w:rsidRPr="007953E8" w:rsidRDefault="00F166CD" w:rsidP="00F166C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обучающихся.</w:t>
      </w:r>
      <w:r w:rsidRPr="00795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66CD" w:rsidRPr="007953E8" w:rsidRDefault="0069011D" w:rsidP="00F166C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F166CD" w:rsidRPr="00795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Осуществлять адресную работу с детьми с ограниченными возможностями здоровья, в том числе с использованием дистанционных технологий. </w:t>
      </w:r>
    </w:p>
    <w:p w:rsidR="00F166CD" w:rsidRPr="007953E8" w:rsidRDefault="0069011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166CD" w:rsidRPr="00795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Организовать самостоятельную деятельность обучающихся, в том числе исследовательскую.</w:t>
      </w: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профессиональных дефицитов учителей русского языка по блокам компетенций (диаграмма 1)</w:t>
      </w: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3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996E785" wp14:editId="4D3C88D2">
            <wp:extent cx="5940425" cy="2089697"/>
            <wp:effectExtent l="0" t="0" r="317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данных, представленных в диаграмме 1, показывает, что в области предметных и коммуникативных компетенций учителя русского языка и литературы не имеют профессиональных дефицитов, при этом самый большой процент профессионального дефицита приходится на блок психолого-педагогических компетенций.</w:t>
      </w:r>
    </w:p>
    <w:p w:rsidR="00F166CD" w:rsidRPr="007953E8" w:rsidRDefault="00F166CD" w:rsidP="00F166CD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6CD" w:rsidRDefault="00F166CD" w:rsidP="00F166CD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3E8">
        <w:rPr>
          <w:rFonts w:ascii="Times New Roman" w:eastAsia="Calibri" w:hAnsi="Times New Roman" w:cs="Times New Roman"/>
          <w:b/>
          <w:sz w:val="28"/>
          <w:szCs w:val="28"/>
        </w:rPr>
        <w:t>Контекстные характеристики, которые могут служить причиной низких образовательных результатов обучающихся (диаграмма 2)</w:t>
      </w:r>
    </w:p>
    <w:p w:rsidR="00F166CD" w:rsidRPr="007953E8" w:rsidRDefault="00F166CD" w:rsidP="00F166CD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59C046" wp14:editId="5C320B0E">
            <wp:extent cx="2628900" cy="2789766"/>
            <wp:effectExtent l="0" t="0" r="1905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CD" w:rsidRPr="007953E8" w:rsidRDefault="00F166CD" w:rsidP="00F1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представленные в диаграмме 2, говорят о том, что на низкие результаты обучающихся может влиять квалификация педагога. </w:t>
      </w:r>
    </w:p>
    <w:p w:rsidR="007953E8" w:rsidRDefault="007953E8" w:rsidP="0073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1751" w:rsidRDefault="00951751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1751" w:rsidRDefault="00951751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1751" w:rsidRDefault="00951751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1751" w:rsidRDefault="00951751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1751" w:rsidRDefault="00951751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1751" w:rsidRDefault="00951751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1751" w:rsidRDefault="00951751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D53077" w:rsidRPr="00951751" w:rsidRDefault="00D53077" w:rsidP="00D53077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452F6F">
        <w:rPr>
          <w:rFonts w:ascii="Times New Roman" w:hAnsi="Times New Roman"/>
          <w:sz w:val="28"/>
          <w:szCs w:val="28"/>
        </w:rPr>
        <w:lastRenderedPageBreak/>
        <w:t xml:space="preserve">В соответствии с полученными результатами анализа </w:t>
      </w:r>
      <w:r>
        <w:rPr>
          <w:rFonts w:ascii="Times New Roman" w:hAnsi="Times New Roman"/>
          <w:sz w:val="28"/>
          <w:szCs w:val="28"/>
        </w:rPr>
        <w:t>итогов ВПР в 5-6 классах</w:t>
      </w:r>
      <w:r w:rsidRPr="0045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учебному предмету русский язык </w:t>
      </w:r>
      <w:r w:rsidRPr="00FD5E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общеобразовательных организациях Самарской области</w:t>
      </w:r>
      <w:r w:rsidRPr="00452F6F">
        <w:rPr>
          <w:rFonts w:ascii="Times New Roman" w:hAnsi="Times New Roman"/>
          <w:sz w:val="28"/>
          <w:szCs w:val="28"/>
        </w:rPr>
        <w:t xml:space="preserve"> </w:t>
      </w:r>
      <w:r w:rsidR="00951751">
        <w:rPr>
          <w:rFonts w:ascii="Times New Roman" w:hAnsi="Times New Roman"/>
          <w:sz w:val="28"/>
          <w:szCs w:val="28"/>
        </w:rPr>
        <w:t xml:space="preserve">сформулированы </w:t>
      </w:r>
      <w:r w:rsidR="00951751" w:rsidRPr="00951751">
        <w:rPr>
          <w:rFonts w:ascii="Times New Roman" w:hAnsi="Times New Roman"/>
          <w:sz w:val="28"/>
          <w:szCs w:val="28"/>
        </w:rPr>
        <w:t>следующие</w:t>
      </w:r>
      <w:r w:rsidRPr="00951751">
        <w:rPr>
          <w:rFonts w:ascii="Times New Roman" w:hAnsi="Times New Roman"/>
          <w:sz w:val="28"/>
          <w:szCs w:val="28"/>
        </w:rPr>
        <w:t xml:space="preserve"> адресные рекомендации:</w:t>
      </w:r>
    </w:p>
    <w:p w:rsidR="00D53077" w:rsidRPr="001C54A4" w:rsidRDefault="00D53077" w:rsidP="00D53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3077" w:rsidRPr="0069011D" w:rsidRDefault="00D53077" w:rsidP="00832CB4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011D">
        <w:rPr>
          <w:rFonts w:ascii="Times New Roman" w:eastAsia="Calibri" w:hAnsi="Times New Roman" w:cs="Times New Roman"/>
          <w:b/>
          <w:i/>
          <w:sz w:val="28"/>
          <w:szCs w:val="28"/>
        </w:rPr>
        <w:t>Территориальным управлениям министерства образования и науки Самарской области:</w:t>
      </w:r>
    </w:p>
    <w:p w:rsidR="00D53077" w:rsidRPr="00FD5E8E" w:rsidRDefault="00D53077" w:rsidP="00832CB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примерной рабочей программы, рабочей программы учителя и используемого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организации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(целостность УМК);</w:t>
      </w:r>
    </w:p>
    <w:p w:rsidR="0069011D" w:rsidRDefault="00D53077" w:rsidP="000321D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совместно с администрациями общеобразовательных организаций, </w:t>
      </w:r>
      <w:r w:rsidR="0069011D" w:rsidRPr="00690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обсуждение проектов программ повышения качества образования в школах с НОР; </w:t>
      </w:r>
    </w:p>
    <w:p w:rsidR="00D53077" w:rsidRPr="0069011D" w:rsidRDefault="00D53077" w:rsidP="000321D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11D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анализ итогов ВПР по русскому языку в 2020 году в рамках окружных августовских совещаний.</w:t>
      </w:r>
    </w:p>
    <w:p w:rsidR="001C54A4" w:rsidRPr="00951751" w:rsidRDefault="001C54A4" w:rsidP="001C54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53077" w:rsidRPr="00951751" w:rsidRDefault="00D53077" w:rsidP="00832CB4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17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Региональному учебно-методическому объединению </w:t>
      </w:r>
      <w:r w:rsidRPr="0095175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учителей</w:t>
      </w:r>
      <w:r w:rsidRPr="009517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русского языка:</w:t>
      </w:r>
    </w:p>
    <w:p w:rsidR="00D53077" w:rsidRDefault="00D53077" w:rsidP="00832CB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типичных ошибок и причин затруднений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 по итогам ВПР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 году</w:t>
      </w:r>
      <w:r w:rsidR="00835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разработки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</w:t>
      </w:r>
      <w:r w:rsidR="00835C2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их устранению; </w:t>
      </w:r>
    </w:p>
    <w:p w:rsidR="00D53077" w:rsidRPr="00FD5E8E" w:rsidRDefault="00D53077" w:rsidP="00832CB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3913">
        <w:rPr>
          <w:rFonts w:ascii="Times New Roman" w:hAnsi="Times New Roman" w:cs="Times New Roman"/>
          <w:sz w:val="28"/>
          <w:szCs w:val="28"/>
        </w:rPr>
        <w:t xml:space="preserve">роведение заседаний регионального отделения учебно-методического объединения по актуальным вопросам информационно-методического сопровождения педагогической деятельности в рамках </w:t>
      </w:r>
      <w:r>
        <w:rPr>
          <w:rFonts w:ascii="Times New Roman" w:hAnsi="Times New Roman" w:cs="Times New Roman"/>
          <w:sz w:val="28"/>
          <w:szCs w:val="28"/>
        </w:rPr>
        <w:t>повышения качества образования в школах с низкими образовательными результатами;</w:t>
      </w:r>
    </w:p>
    <w:p w:rsidR="00D53077" w:rsidRPr="00FD5E8E" w:rsidRDefault="0069011D" w:rsidP="00832CB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запланированных </w:t>
      </w:r>
      <w:r w:rsidR="00D53077"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ях, вебинарах </w:t>
      </w:r>
      <w:r w:rsidR="00D53077"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3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 русского языка</w:t>
      </w:r>
      <w:r w:rsidR="00D53077"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ать</w:t>
      </w:r>
      <w:r w:rsidR="00D53077"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повестку анализ результатов </w:t>
      </w:r>
      <w:r w:rsidR="00D53077">
        <w:rPr>
          <w:rFonts w:ascii="Times New Roman" w:eastAsia="Calibri" w:hAnsi="Times New Roman" w:cs="Times New Roman"/>
          <w:sz w:val="28"/>
          <w:szCs w:val="28"/>
          <w:lang w:eastAsia="ru-RU"/>
        </w:rPr>
        <w:t>ВПР</w:t>
      </w:r>
      <w:r w:rsidR="00D53077"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D53077"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</w:t>
      </w:r>
      <w:r w:rsidR="00D53077"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>, перечень тем, вызвавших наибольшие затруднения</w:t>
      </w:r>
      <w:r w:rsidR="00D53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3077"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>у обучающихся, обсуждение методических подходов к их преподаванию;</w:t>
      </w:r>
    </w:p>
    <w:p w:rsidR="00D53077" w:rsidRDefault="00D53077" w:rsidP="00832CB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обобщить и транслировать опыт педагогов, обеспечивших лучшие результаты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ВПР</w:t>
      </w:r>
      <w:r w:rsidRPr="00FD5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разделам, вызвавшим затруднения.</w:t>
      </w:r>
    </w:p>
    <w:p w:rsidR="001C54A4" w:rsidRDefault="001C54A4" w:rsidP="001C5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732A" w:rsidRPr="0005732A" w:rsidRDefault="0005732A" w:rsidP="0005732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3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Окружным учебно-методическим объединениям:</w:t>
      </w:r>
    </w:p>
    <w:p w:rsidR="00D53077" w:rsidRPr="0005732A" w:rsidRDefault="00D53077" w:rsidP="0005732A">
      <w:pPr>
        <w:pStyle w:val="aa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анализ результатов ВПР по русскому языку и затруднений, возникших при выполнении заданий, в разрезе образовательных организаций</w:t>
      </w:r>
      <w:r w:rsidR="0005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своего образовательного округа</w:t>
      </w:r>
      <w:r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5732A" w:rsidRDefault="00D53077" w:rsidP="00A327F8">
      <w:pPr>
        <w:pStyle w:val="aa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</w:t>
      </w:r>
      <w:r w:rsidR="0005732A"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>робелов в знаниях учащихся скорректировать содержание методической работы с учителями русского языка на следующий год;</w:t>
      </w:r>
      <w:r w:rsidR="0005732A"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732A" w:rsidRPr="00041666" w:rsidRDefault="0005732A" w:rsidP="00A327F8">
      <w:pPr>
        <w:pStyle w:val="aa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32A">
        <w:rPr>
          <w:rFonts w:ascii="Times New Roman" w:hAnsi="Times New Roman" w:cs="Times New Roman"/>
          <w:sz w:val="28"/>
          <w:szCs w:val="28"/>
        </w:rPr>
        <w:t>организовать тематическое наставничество</w:t>
      </w:r>
      <w:r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учителей-предметников по проблемным темам </w:t>
      </w:r>
      <w:r w:rsidRPr="0005732A">
        <w:rPr>
          <w:rFonts w:ascii="Times New Roman" w:hAnsi="Times New Roman" w:cs="Times New Roman"/>
          <w:sz w:val="28"/>
          <w:szCs w:val="28"/>
        </w:rPr>
        <w:t xml:space="preserve">с привлечением учителей </w:t>
      </w:r>
      <w:r w:rsidRPr="0005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организаций, продемонстрировавших высокие результаты по русскому языку, и организаций, </w:t>
      </w:r>
      <w:r w:rsidRPr="0005732A">
        <w:rPr>
          <w:rFonts w:ascii="Times New Roman" w:hAnsi="Times New Roman" w:cs="Times New Roman"/>
          <w:sz w:val="28"/>
          <w:szCs w:val="28"/>
        </w:rPr>
        <w:t>функционирующих в неблагоприятных социально-экономических условиях, но демонстрирующие академическу</w:t>
      </w:r>
      <w:r w:rsidR="00041666">
        <w:rPr>
          <w:rFonts w:ascii="Times New Roman" w:hAnsi="Times New Roman" w:cs="Times New Roman"/>
          <w:sz w:val="28"/>
          <w:szCs w:val="28"/>
        </w:rPr>
        <w:t>ю успешность своих обучающихся.</w:t>
      </w:r>
    </w:p>
    <w:p w:rsidR="00041666" w:rsidRPr="0005732A" w:rsidRDefault="00041666" w:rsidP="00041666">
      <w:pPr>
        <w:pStyle w:val="a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F20" w:rsidRPr="00041666" w:rsidRDefault="00AA2F20" w:rsidP="000416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5732A" w:rsidRPr="0005732A" w:rsidRDefault="0005732A" w:rsidP="0005732A">
      <w:pPr>
        <w:pStyle w:val="aa"/>
        <w:spacing w:after="0" w:line="240" w:lineRule="auto"/>
        <w:ind w:left="10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3077" w:rsidRPr="00041666" w:rsidRDefault="00D53077" w:rsidP="0004166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1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Администрациям образовательных организаций:</w:t>
      </w:r>
    </w:p>
    <w:p w:rsidR="007A7EC0" w:rsidRPr="00041666" w:rsidRDefault="00D53077" w:rsidP="00041666">
      <w:pPr>
        <w:pStyle w:val="a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3077" w:rsidRPr="00041666" w:rsidRDefault="00041666" w:rsidP="00041666">
      <w:pPr>
        <w:pStyle w:val="aa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53077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рганизовать обучение педагогов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СИПКРО </w:t>
      </w:r>
      <w:r w:rsidR="00D53077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>по образовательным программам, направленным на устранение выявленных профессиональных дефицитов</w:t>
      </w:r>
      <w:r w:rsidR="007A7EC0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A7EC0" w:rsidRPr="00041666">
        <w:rPr>
          <w:rFonts w:ascii="Times New Roman" w:eastAsia="Calibri" w:hAnsi="Times New Roman" w:cs="Times New Roman"/>
          <w:color w:val="000000"/>
          <w:sz w:val="28"/>
          <w:szCs w:val="28"/>
        </w:rPr>
        <w:t>«Трудные случаи грамматического анализа в практике преподавания русского языка</w:t>
      </w:r>
      <w:r w:rsidRPr="00041666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 w:rsidR="007A7EC0" w:rsidRPr="00041666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подходы к изучению орфографии и пунктуации в основной школе», «Технологические и методические основы формирования читательской грамотности у обучающихся средней и основной школы»)</w:t>
      </w:r>
      <w:r w:rsidR="00D53077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53077" w:rsidRPr="00041666" w:rsidRDefault="00D53077" w:rsidP="00041666">
      <w:pPr>
        <w:pStyle w:val="aa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корректировку рабочих программ по учебному предмету русский язык и внеурочной деятельности;</w:t>
      </w:r>
    </w:p>
    <w:p w:rsidR="00D53077" w:rsidRPr="00041666" w:rsidRDefault="00D53077" w:rsidP="00041666">
      <w:pPr>
        <w:pStyle w:val="aa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666">
        <w:rPr>
          <w:rFonts w:ascii="Times New Roman" w:hAnsi="Times New Roman" w:cs="Times New Roman"/>
          <w:sz w:val="28"/>
          <w:szCs w:val="28"/>
        </w:rPr>
        <w:t>организ</w:t>
      </w:r>
      <w:r w:rsidR="00041666">
        <w:rPr>
          <w:rFonts w:ascii="Times New Roman" w:hAnsi="Times New Roman" w:cs="Times New Roman"/>
          <w:sz w:val="28"/>
          <w:szCs w:val="28"/>
        </w:rPr>
        <w:t xml:space="preserve">овать разработку и реализацию </w:t>
      </w:r>
      <w:r w:rsidRPr="00041666">
        <w:rPr>
          <w:rFonts w:ascii="Times New Roman" w:hAnsi="Times New Roman" w:cs="Times New Roman"/>
          <w:sz w:val="28"/>
          <w:szCs w:val="28"/>
        </w:rPr>
        <w:t>индивидуальны</w:t>
      </w:r>
      <w:r w:rsidR="00041666">
        <w:rPr>
          <w:rFonts w:ascii="Times New Roman" w:hAnsi="Times New Roman" w:cs="Times New Roman"/>
          <w:sz w:val="28"/>
          <w:szCs w:val="28"/>
        </w:rPr>
        <w:t>х</w:t>
      </w:r>
      <w:r w:rsidRPr="0004166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41666">
        <w:rPr>
          <w:rFonts w:ascii="Times New Roman" w:hAnsi="Times New Roman" w:cs="Times New Roman"/>
          <w:sz w:val="28"/>
          <w:szCs w:val="28"/>
        </w:rPr>
        <w:t>х</w:t>
      </w:r>
      <w:r w:rsidRPr="0004166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41666">
        <w:rPr>
          <w:rFonts w:ascii="Times New Roman" w:hAnsi="Times New Roman" w:cs="Times New Roman"/>
          <w:sz w:val="28"/>
          <w:szCs w:val="28"/>
        </w:rPr>
        <w:t>ов</w:t>
      </w:r>
      <w:r w:rsidRPr="00041666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демонстрирующих низкие учебные результаты по предмету русский язык, в том числе тьюторской и (или) тренерской поддержки</w:t>
      </w:r>
      <w:r w:rsidR="001C54A4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54A4" w:rsidRDefault="001C54A4" w:rsidP="001C5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3077" w:rsidRPr="00041666" w:rsidRDefault="00D53077" w:rsidP="0004166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Учителям-предметникам</w:t>
      </w:r>
      <w:r w:rsidRPr="000416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5075" w:rsidRDefault="00D53077" w:rsidP="00041666">
      <w:pPr>
        <w:pStyle w:val="aa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 работе рекомендации, данные в ходе заседания учебно-методических объединений региона и образовательного округа;</w:t>
      </w:r>
    </w:p>
    <w:p w:rsidR="00041666" w:rsidRPr="00041666" w:rsidRDefault="00041666" w:rsidP="00041666">
      <w:pPr>
        <w:pStyle w:val="aa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пройти курсы повышения квалификации по темам, вызывающим наибольшие затруднения;</w:t>
      </w:r>
    </w:p>
    <w:p w:rsidR="00F55075" w:rsidRPr="00041666" w:rsidRDefault="00F55075" w:rsidP="00041666">
      <w:pPr>
        <w:pStyle w:val="aa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адресную работу с обучающимися, не освоившими необходимый материал (из всего курса учебной дисциплины)</w:t>
      </w:r>
      <w:r w:rsidR="00420725" w:rsidRPr="00041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53077" w:rsidRPr="00041666" w:rsidRDefault="00041666" w:rsidP="00041666">
      <w:pPr>
        <w:pStyle w:val="aa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информировать </w:t>
      </w:r>
      <w:r w:rsidR="00656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родителей </w:t>
      </w:r>
      <w:r w:rsidR="00656B33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53077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личных достижений</w:t>
      </w:r>
      <w:r w:rsidR="00D53077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r w:rsidR="00D53077" w:rsidRPr="0004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русскому языку.</w:t>
      </w:r>
    </w:p>
    <w:p w:rsidR="00D53077" w:rsidRDefault="00D53077" w:rsidP="000416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53077" w:rsidSect="00F06EC0">
      <w:footerReference w:type="defaul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E2" w:rsidRDefault="00A322E2" w:rsidP="007953E8">
      <w:pPr>
        <w:spacing w:after="0" w:line="240" w:lineRule="auto"/>
      </w:pPr>
      <w:r>
        <w:separator/>
      </w:r>
    </w:p>
  </w:endnote>
  <w:endnote w:type="continuationSeparator" w:id="0">
    <w:p w:rsidR="00A322E2" w:rsidRDefault="00A322E2" w:rsidP="0079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575067"/>
      <w:docPartObj>
        <w:docPartGallery w:val="Page Numbers (Bottom of Page)"/>
        <w:docPartUnique/>
      </w:docPartObj>
    </w:sdtPr>
    <w:sdtEndPr/>
    <w:sdtContent>
      <w:p w:rsidR="00012E74" w:rsidRDefault="00012E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01">
          <w:rPr>
            <w:noProof/>
          </w:rPr>
          <w:t>1</w:t>
        </w:r>
        <w:r>
          <w:fldChar w:fldCharType="end"/>
        </w:r>
      </w:p>
    </w:sdtContent>
  </w:sdt>
  <w:p w:rsidR="00012E74" w:rsidRDefault="00012E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E2" w:rsidRDefault="00A322E2" w:rsidP="007953E8">
      <w:pPr>
        <w:spacing w:after="0" w:line="240" w:lineRule="auto"/>
      </w:pPr>
      <w:r>
        <w:separator/>
      </w:r>
    </w:p>
  </w:footnote>
  <w:footnote w:type="continuationSeparator" w:id="0">
    <w:p w:rsidR="00A322E2" w:rsidRDefault="00A322E2" w:rsidP="007953E8">
      <w:pPr>
        <w:spacing w:after="0" w:line="240" w:lineRule="auto"/>
      </w:pPr>
      <w:r>
        <w:continuationSeparator/>
      </w:r>
    </w:p>
  </w:footnote>
  <w:footnote w:id="1">
    <w:p w:rsidR="00F166CD" w:rsidRDefault="00F166CD" w:rsidP="00F166CD">
      <w:pPr>
        <w:pStyle w:val="a5"/>
      </w:pPr>
      <w:r>
        <w:rPr>
          <w:rStyle w:val="a7"/>
        </w:rPr>
        <w:footnoteRef/>
      </w:r>
      <w:r>
        <w:t xml:space="preserve"> Информация по респондентам представлена на основе данных, размещенных </w:t>
      </w:r>
      <w:r w:rsidRPr="0095523F">
        <w:t>в АИС «Кадры в образовании. Самарская область»</w:t>
      </w:r>
      <w:r>
        <w:t xml:space="preserve"> за исключением </w:t>
      </w:r>
      <w:r w:rsidRPr="0095523F">
        <w:t>ЧОУ школа «Потенциал»</w:t>
      </w:r>
      <w:r>
        <w:t xml:space="preserve"> (данные официального сайта).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E6C"/>
    <w:multiLevelType w:val="hybridMultilevel"/>
    <w:tmpl w:val="D97A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47E"/>
    <w:multiLevelType w:val="hybridMultilevel"/>
    <w:tmpl w:val="AFEEF168"/>
    <w:lvl w:ilvl="0" w:tplc="DBEC9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14C5C"/>
    <w:multiLevelType w:val="hybridMultilevel"/>
    <w:tmpl w:val="1D105A6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C441086"/>
    <w:multiLevelType w:val="hybridMultilevel"/>
    <w:tmpl w:val="22CC71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3B0A20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0AAA"/>
    <w:multiLevelType w:val="hybridMultilevel"/>
    <w:tmpl w:val="B514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6916"/>
    <w:multiLevelType w:val="hybridMultilevel"/>
    <w:tmpl w:val="A0AA409E"/>
    <w:lvl w:ilvl="0" w:tplc="1FBE30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22AF"/>
    <w:multiLevelType w:val="hybridMultilevel"/>
    <w:tmpl w:val="B2FAB3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6A05"/>
    <w:multiLevelType w:val="hybridMultilevel"/>
    <w:tmpl w:val="F6AA600E"/>
    <w:lvl w:ilvl="0" w:tplc="7A101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C180E"/>
    <w:multiLevelType w:val="hybridMultilevel"/>
    <w:tmpl w:val="AFEEF168"/>
    <w:lvl w:ilvl="0" w:tplc="DBEC9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FE6CD7"/>
    <w:multiLevelType w:val="hybridMultilevel"/>
    <w:tmpl w:val="C5106A62"/>
    <w:lvl w:ilvl="0" w:tplc="4FFC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F4770"/>
    <w:multiLevelType w:val="hybridMultilevel"/>
    <w:tmpl w:val="B698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9F"/>
    <w:rsid w:val="00012E74"/>
    <w:rsid w:val="00041666"/>
    <w:rsid w:val="00050503"/>
    <w:rsid w:val="0005732A"/>
    <w:rsid w:val="001306A5"/>
    <w:rsid w:val="001C54A4"/>
    <w:rsid w:val="00244433"/>
    <w:rsid w:val="002A3E31"/>
    <w:rsid w:val="003668E8"/>
    <w:rsid w:val="00373DF2"/>
    <w:rsid w:val="0037548B"/>
    <w:rsid w:val="00381081"/>
    <w:rsid w:val="003E4181"/>
    <w:rsid w:val="004071A8"/>
    <w:rsid w:val="00420725"/>
    <w:rsid w:val="00467C06"/>
    <w:rsid w:val="00475360"/>
    <w:rsid w:val="00486D97"/>
    <w:rsid w:val="004B49BC"/>
    <w:rsid w:val="004B5F39"/>
    <w:rsid w:val="004C341D"/>
    <w:rsid w:val="005E0677"/>
    <w:rsid w:val="005F7E00"/>
    <w:rsid w:val="006250A5"/>
    <w:rsid w:val="00630501"/>
    <w:rsid w:val="00634B74"/>
    <w:rsid w:val="00650D95"/>
    <w:rsid w:val="00656B33"/>
    <w:rsid w:val="006725B7"/>
    <w:rsid w:val="0069011D"/>
    <w:rsid w:val="0069686A"/>
    <w:rsid w:val="007004C6"/>
    <w:rsid w:val="00725BD6"/>
    <w:rsid w:val="007273E6"/>
    <w:rsid w:val="00733E3F"/>
    <w:rsid w:val="007473E0"/>
    <w:rsid w:val="00752473"/>
    <w:rsid w:val="00776747"/>
    <w:rsid w:val="00790DBA"/>
    <w:rsid w:val="00793913"/>
    <w:rsid w:val="007953E8"/>
    <w:rsid w:val="007A7EC0"/>
    <w:rsid w:val="007E15E8"/>
    <w:rsid w:val="008104B6"/>
    <w:rsid w:val="00830AA6"/>
    <w:rsid w:val="00832CB4"/>
    <w:rsid w:val="00835C2C"/>
    <w:rsid w:val="00840D51"/>
    <w:rsid w:val="0086786E"/>
    <w:rsid w:val="008776E0"/>
    <w:rsid w:val="008A2B17"/>
    <w:rsid w:val="008B4208"/>
    <w:rsid w:val="008F7484"/>
    <w:rsid w:val="00920BE4"/>
    <w:rsid w:val="00937260"/>
    <w:rsid w:val="00951751"/>
    <w:rsid w:val="00A23095"/>
    <w:rsid w:val="00A322E2"/>
    <w:rsid w:val="00AA009F"/>
    <w:rsid w:val="00AA2F20"/>
    <w:rsid w:val="00AD41CB"/>
    <w:rsid w:val="00AD539F"/>
    <w:rsid w:val="00AE6CCC"/>
    <w:rsid w:val="00AF30C2"/>
    <w:rsid w:val="00B01680"/>
    <w:rsid w:val="00B2672F"/>
    <w:rsid w:val="00B36733"/>
    <w:rsid w:val="00B822CC"/>
    <w:rsid w:val="00C22CFE"/>
    <w:rsid w:val="00C400B3"/>
    <w:rsid w:val="00C56594"/>
    <w:rsid w:val="00CA2253"/>
    <w:rsid w:val="00CE7BD5"/>
    <w:rsid w:val="00D05FE0"/>
    <w:rsid w:val="00D16675"/>
    <w:rsid w:val="00D53077"/>
    <w:rsid w:val="00E04DC8"/>
    <w:rsid w:val="00E419C4"/>
    <w:rsid w:val="00E63761"/>
    <w:rsid w:val="00EC64BA"/>
    <w:rsid w:val="00ED67AA"/>
    <w:rsid w:val="00EE08AB"/>
    <w:rsid w:val="00EF050D"/>
    <w:rsid w:val="00EF2DD5"/>
    <w:rsid w:val="00F06EC0"/>
    <w:rsid w:val="00F166CD"/>
    <w:rsid w:val="00F55075"/>
    <w:rsid w:val="00FC2BA2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02CD-5F53-4780-B54D-F52C14A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E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7953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95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53E8"/>
    <w:rPr>
      <w:vertAlign w:val="superscript"/>
    </w:rPr>
  </w:style>
  <w:style w:type="table" w:styleId="a8">
    <w:name w:val="Table Grid"/>
    <w:basedOn w:val="a1"/>
    <w:uiPriority w:val="39"/>
    <w:rsid w:val="0079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5247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E15E8"/>
    <w:pPr>
      <w:ind w:left="720"/>
      <w:contextualSpacing/>
    </w:pPr>
  </w:style>
  <w:style w:type="paragraph" w:styleId="ab">
    <w:name w:val="No Spacing"/>
    <w:uiPriority w:val="1"/>
    <w:qFormat/>
    <w:rsid w:val="00D05FE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2E74"/>
  </w:style>
  <w:style w:type="paragraph" w:styleId="ae">
    <w:name w:val="footer"/>
    <w:basedOn w:val="a"/>
    <w:link w:val="af"/>
    <w:uiPriority w:val="99"/>
    <w:unhideWhenUsed/>
    <w:rsid w:val="000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4vpr.ru/6-klass/218-demoversiya-vpr-2019-po-russkomu-yazyku-6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vpr.ru/5-klass/50-demoversiya-vpr-po-russkomu-yazyku-5-klass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школ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813342875770047E-2"/>
                  <c:y val="6.863816148338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708380378063074E-2"/>
                  <c:y val="5.9707817179948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801420858492037E-2"/>
                  <c:y val="5.612076829033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135130549663302E-2"/>
                  <c:y val="7.139444528552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251007424670299E-4"/>
                  <c:y val="3.239755608995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887241641540259E-3"/>
                  <c:y val="2.586441031274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113509351674104E-2"/>
                  <c:y val="6.0312632422205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1718409410151671E-2"/>
                  <c:y val="4.0357533297171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456501014516261E-3"/>
                  <c:y val="0.11237545790786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1016114488571041E-3"/>
                  <c:y val="3.381639939411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016114488571041E-3"/>
                  <c:y val="3.8647313593279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3672038162857011E-3"/>
                  <c:y val="2.89854851949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93D-4041-A400-A0536F7981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Северное ТУ</c:v>
                </c:pt>
                <c:pt idx="1">
                  <c:v>Тольятти</c:v>
                </c:pt>
                <c:pt idx="2">
                  <c:v>Южное ТУ</c:v>
                </c:pt>
                <c:pt idx="3">
                  <c:v>Западное ТУ</c:v>
                </c:pt>
                <c:pt idx="4">
                  <c:v>Северо-Восточное ТУ</c:v>
                </c:pt>
                <c:pt idx="5">
                  <c:v>Самара</c:v>
                </c:pt>
                <c:pt idx="6">
                  <c:v>Центральное ТУ</c:v>
                </c:pt>
                <c:pt idx="7">
                  <c:v>Отрадненское ТУ</c:v>
                </c:pt>
                <c:pt idx="8">
                  <c:v>Юго-Западное ТУ</c:v>
                </c:pt>
                <c:pt idx="9">
                  <c:v>Кинельское ТУ</c:v>
                </c:pt>
                <c:pt idx="10">
                  <c:v>Поволжское ТУ</c:v>
                </c:pt>
                <c:pt idx="11">
                  <c:v>Юго-Восточное ТУ</c:v>
                </c:pt>
                <c:pt idx="12">
                  <c:v>Северо-Западное ТУ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30</c:v>
                </c:pt>
                <c:pt idx="6">
                  <c:v>7</c:v>
                </c:pt>
                <c:pt idx="7">
                  <c:v>7</c:v>
                </c:pt>
                <c:pt idx="8">
                  <c:v>17</c:v>
                </c:pt>
                <c:pt idx="9">
                  <c:v>7</c:v>
                </c:pt>
                <c:pt idx="10">
                  <c:v>10</c:v>
                </c:pt>
                <c:pt idx="11">
                  <c:v>6</c:v>
                </c:pt>
                <c:pt idx="1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93D-4041-A400-A0536F798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192272"/>
        <c:axId val="4081926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школ с НОР от общего числа ОО</c:v>
                </c:pt>
              </c:strCache>
            </c:strRef>
          </c:tx>
          <c:dLbls>
            <c:dLbl>
              <c:idx val="0"/>
              <c:layout>
                <c:manualLayout>
                  <c:x val="-2.6742829608079721E-2"/>
                  <c:y val="-6.3591948273461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35536964454422E-2"/>
                  <c:y val="-7.1856995810418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272361641126866E-2"/>
                  <c:y val="-5.4095968583081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636315172560499E-2"/>
                  <c:y val="-6.500128190400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099382583675026E-2"/>
                  <c:y val="-7.18269452417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817267504299698E-3"/>
                  <c:y val="-2.2074234794602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913002029032523E-2"/>
                  <c:y val="-4.6823107461612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0358652130484151E-2"/>
                  <c:y val="-6.0870039700096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913002029032523E-2"/>
                  <c:y val="-5.1505418207773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711280141999727E-2"/>
                  <c:y val="-7.729462718655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547299223428336E-2"/>
                  <c:y val="-3.864731359327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93D-4041-A400-A0536F79817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6914503039713935E-2"/>
                  <c:y val="-5.314005619075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93D-4041-A400-A0536F7981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Северное ТУ</c:v>
                </c:pt>
                <c:pt idx="1">
                  <c:v>Тольятти</c:v>
                </c:pt>
                <c:pt idx="2">
                  <c:v>Южное ТУ</c:v>
                </c:pt>
                <c:pt idx="3">
                  <c:v>Западное ТУ</c:v>
                </c:pt>
                <c:pt idx="4">
                  <c:v>Северо-Восточное ТУ</c:v>
                </c:pt>
                <c:pt idx="5">
                  <c:v>Самара</c:v>
                </c:pt>
                <c:pt idx="6">
                  <c:v>Центральное ТУ</c:v>
                </c:pt>
                <c:pt idx="7">
                  <c:v>Отрадненское ТУ</c:v>
                </c:pt>
                <c:pt idx="8">
                  <c:v>Юго-Западное ТУ</c:v>
                </c:pt>
                <c:pt idx="9">
                  <c:v>Кинельское ТУ</c:v>
                </c:pt>
                <c:pt idx="10">
                  <c:v>Поволжское ТУ</c:v>
                </c:pt>
                <c:pt idx="11">
                  <c:v>Юго-Восточное ТУ</c:v>
                </c:pt>
                <c:pt idx="12">
                  <c:v>Северо-Западное ТУ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2.2999999999999998</c:v>
                </c:pt>
                <c:pt idx="1">
                  <c:v>4.0999999999999996</c:v>
                </c:pt>
                <c:pt idx="2">
                  <c:v>8.6999999999999993</c:v>
                </c:pt>
                <c:pt idx="3">
                  <c:v>13.8</c:v>
                </c:pt>
                <c:pt idx="4">
                  <c:v>15</c:v>
                </c:pt>
                <c:pt idx="5">
                  <c:v>17.3</c:v>
                </c:pt>
                <c:pt idx="6">
                  <c:v>19.5</c:v>
                </c:pt>
                <c:pt idx="7">
                  <c:v>20.6</c:v>
                </c:pt>
                <c:pt idx="8">
                  <c:v>22.4</c:v>
                </c:pt>
                <c:pt idx="9">
                  <c:v>24.1</c:v>
                </c:pt>
                <c:pt idx="10">
                  <c:v>24.4</c:v>
                </c:pt>
                <c:pt idx="11">
                  <c:v>28.6</c:v>
                </c:pt>
                <c:pt idx="12">
                  <c:v>43.6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9-793D-4041-A400-A0536F798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8188744"/>
        <c:axId val="408193056"/>
      </c:lineChart>
      <c:catAx>
        <c:axId val="40819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08192664"/>
        <c:crosses val="autoZero"/>
        <c:auto val="1"/>
        <c:lblAlgn val="ctr"/>
        <c:lblOffset val="100"/>
        <c:noMultiLvlLbl val="0"/>
      </c:catAx>
      <c:valAx>
        <c:axId val="408192664"/>
        <c:scaling>
          <c:orientation val="minMax"/>
          <c:max val="3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408192272"/>
        <c:crosses val="autoZero"/>
        <c:crossBetween val="between"/>
      </c:valAx>
      <c:valAx>
        <c:axId val="408193056"/>
        <c:scaling>
          <c:orientation val="minMax"/>
          <c:max val="5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crossAx val="408188744"/>
        <c:crosses val="max"/>
        <c:crossBetween val="between"/>
        <c:majorUnit val="30"/>
        <c:minorUnit val="2"/>
      </c:valAx>
      <c:catAx>
        <c:axId val="408188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819305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06-46EC-AD10-CA5DFB8B933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06-46EC-AD10-CA5DFB8B933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06-46EC-AD10-CA5DFB8B933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06-46EC-AD10-CA5DFB8B933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306-46EC-AD10-CA5DFB8B933C}"/>
              </c:ext>
            </c:extLst>
          </c:dPt>
          <c:dLbls>
            <c:dLbl>
              <c:idx val="0"/>
              <c:layout>
                <c:manualLayout>
                  <c:x val="2.8656860600758068E-2"/>
                  <c:y val="-2.96944131983502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06-46EC-AD10-CA5DFB8B933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367991781614959E-3"/>
                  <c:y val="9.43777923505518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306-46EC-AD10-CA5DFB8B933C}"/>
                </c:ext>
                <c:ext xmlns:c15="http://schemas.microsoft.com/office/drawing/2012/chart" uri="{CE6537A1-D6FC-4f65-9D91-7224C49458BB}">
                  <c15:layout>
                    <c:manualLayout>
                      <c:w val="0.28106579177602797"/>
                      <c:h val="0.1926191197254189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0139639516290307E-2"/>
                  <c:y val="-1.76809160089260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306-46EC-AD10-CA5DFB8B933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343962300317901"/>
                  <c:y val="3.20989984100998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306-46EC-AD10-CA5DFB8B933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7948698161070051"/>
                  <c:y val="8.38825644098262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306-46EC-AD10-CA5DFB8B933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Психолого-педагогические</c:v>
                </c:pt>
                <c:pt idx="1">
                  <c:v>Коммуникативные</c:v>
                </c:pt>
                <c:pt idx="2">
                  <c:v>Методические </c:v>
                </c:pt>
                <c:pt idx="3">
                  <c:v>Универсальные</c:v>
                </c:pt>
                <c:pt idx="4">
                  <c:v>Предметные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0.66600000000000004</c:v>
                </c:pt>
                <c:pt idx="1">
                  <c:v>0</c:v>
                </c:pt>
                <c:pt idx="2" formatCode="0.00%">
                  <c:v>0.16700000000000001</c:v>
                </c:pt>
                <c:pt idx="3" formatCode="0.00%">
                  <c:v>0.16700000000000001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306-46EC-AD10-CA5DFB8B933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BA-4389-9FA5-A4C581B14C1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BA-4389-9FA5-A4C581B14C1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BA-4389-9FA5-A4C581B14C1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DBA-4389-9FA5-A4C581B14C1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DBA-4389-9FA5-A4C581B14C12}"/>
              </c:ext>
            </c:extLst>
          </c:dPt>
          <c:dLbls>
            <c:dLbl>
              <c:idx val="0"/>
              <c:layout>
                <c:manualLayout>
                  <c:x val="-5.5928411633110395E-3"/>
                  <c:y val="-5.61954296997278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BA-4389-9FA5-A4C581B14C12}"/>
                </c:ext>
                <c:ext xmlns:c15="http://schemas.microsoft.com/office/drawing/2012/chart" uri="{CE6537A1-D6FC-4f65-9D91-7224C49458BB}">
                  <c15:layout>
                    <c:manualLayout>
                      <c:w val="0.37249238140534446"/>
                      <c:h val="0.1313857786125358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0.168847615027437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BA-4389-9FA5-A4C581B14C1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803468208092484E-2"/>
                  <c:y val="3.79907133811734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BA-4389-9FA5-A4C581B14C1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9711778908887E-2"/>
                  <c:y val="0.193041723302504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DBA-4389-9FA5-A4C581B14C12}"/>
                </c:ext>
                <c:ext xmlns:c15="http://schemas.microsoft.com/office/drawing/2012/chart" uri="{CE6537A1-D6FC-4f65-9D91-7224C49458BB}">
                  <c15:layout>
                    <c:manualLayout>
                      <c:w val="0.41036903944053971"/>
                      <c:h val="0.17216049828633806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7841888539876213E-2"/>
                  <c:y val="-2.604248404647929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152DB8-C28E-40F4-B4D1-C22413C023DB}" type="CATEGORYNAME">
                      <a:rPr lang="ru-RU" sz="1100" b="1"/>
                      <a:pPr>
                        <a:defRPr sz="11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 b="1" baseline="0"/>
                      <a:t> </a:t>
                    </a:r>
                    <a:fld id="{8B736131-2060-428E-8D82-BBDB7D838253}" type="VALUE">
                      <a:rPr lang="ru-RU" sz="1100" b="1" baseline="0"/>
                      <a:pPr>
                        <a:defRPr sz="11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 sz="11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BA-4389-9FA5-A4C581B14C12}"/>
                </c:ext>
                <c:ext xmlns:c15="http://schemas.microsoft.com/office/drawing/2012/chart" uri="{CE6537A1-D6FC-4f65-9D91-7224C49458BB}">
                  <c15:layout>
                    <c:manualLayout>
                      <c:w val="0.33614120382603174"/>
                      <c:h val="0.1762379702537182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Соответствие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Нет данных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0.185</c:v>
                </c:pt>
                <c:pt idx="1">
                  <c:v>0.18</c:v>
                </c:pt>
                <c:pt idx="2" formatCode="0.00%">
                  <c:v>0.13400000000000001</c:v>
                </c:pt>
                <c:pt idx="3">
                  <c:v>0.36</c:v>
                </c:pt>
                <c:pt idx="4" formatCode="0.00%">
                  <c:v>0.14099999999999999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DBA-4389-9FA5-A4C581B14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_ШАБЛОН_МЭР_СО - копия">
    <a:dk1>
      <a:srgbClr val="000000"/>
    </a:dk1>
    <a:lt1>
      <a:srgbClr val="FFFFFF"/>
    </a:lt1>
    <a:dk2>
      <a:srgbClr val="A7A7A7"/>
    </a:dk2>
    <a:lt2>
      <a:srgbClr val="535353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FF00FF"/>
    </a:folHlink>
  </a:clrScheme>
  <a:fontScheme name="_ШАБЛОН_МЭР_СО - копия">
    <a:majorFont>
      <a:latin typeface="Calibri"/>
      <a:ea typeface="Calibri"/>
      <a:cs typeface="Calibri"/>
    </a:majorFont>
    <a:minorFont>
      <a:latin typeface="Helvetica"/>
      <a:ea typeface="Helvetica"/>
      <a:cs typeface="Helvetica"/>
    </a:minorFont>
  </a:fontScheme>
  <a:fmtScheme name="_ШАБЛОН_МЭР_СО - копи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0000" dir="5400000" rotWithShape="0">
            <a:srgbClr val="000000">
              <a:alpha val="38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0852-6B61-4766-BFD8-A89EFFF2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Иванова Ольга</cp:lastModifiedBy>
  <cp:revision>2</cp:revision>
  <dcterms:created xsi:type="dcterms:W3CDTF">2021-09-21T06:58:00Z</dcterms:created>
  <dcterms:modified xsi:type="dcterms:W3CDTF">2021-09-21T06:58:00Z</dcterms:modified>
</cp:coreProperties>
</file>